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F55" w:rsidRDefault="00D36495" w:rsidP="00FF4053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264F55">
        <w:rPr>
          <w:rFonts w:ascii="Arial" w:hAnsi="Arial" w:cs="Arial"/>
          <w:i/>
          <w:sz w:val="32"/>
          <w:szCs w:val="32"/>
        </w:rPr>
        <w:t>In-</w:t>
      </w:r>
      <w:proofErr w:type="spellStart"/>
      <w:r w:rsidRPr="00264F55">
        <w:rPr>
          <w:rFonts w:ascii="Arial" w:hAnsi="Arial" w:cs="Arial"/>
          <w:i/>
          <w:sz w:val="32"/>
          <w:szCs w:val="32"/>
        </w:rPr>
        <w:t>silico</w:t>
      </w:r>
      <w:proofErr w:type="spellEnd"/>
      <w:r w:rsidRPr="00264F55">
        <w:rPr>
          <w:rFonts w:ascii="Arial" w:hAnsi="Arial" w:cs="Arial"/>
          <w:sz w:val="32"/>
          <w:szCs w:val="32"/>
        </w:rPr>
        <w:t xml:space="preserve"> Discovery of Dual inhibitors of </w:t>
      </w:r>
      <w:proofErr w:type="spellStart"/>
      <w:r w:rsidRPr="00264F55">
        <w:rPr>
          <w:rFonts w:ascii="Arial" w:hAnsi="Arial" w:cs="Arial"/>
          <w:sz w:val="32"/>
          <w:szCs w:val="32"/>
        </w:rPr>
        <w:t>Dipeptidyl</w:t>
      </w:r>
      <w:proofErr w:type="spellEnd"/>
      <w:r w:rsidRPr="00264F55">
        <w:rPr>
          <w:rFonts w:ascii="Arial" w:hAnsi="Arial" w:cs="Arial"/>
          <w:sz w:val="32"/>
          <w:szCs w:val="32"/>
        </w:rPr>
        <w:t xml:space="preserve"> Peptidase IV (DPP IV) and Neutral </w:t>
      </w:r>
      <w:proofErr w:type="spellStart"/>
      <w:r w:rsidRPr="00264F55">
        <w:rPr>
          <w:rFonts w:ascii="Arial" w:hAnsi="Arial" w:cs="Arial"/>
          <w:sz w:val="32"/>
          <w:szCs w:val="32"/>
        </w:rPr>
        <w:t>Endopeptidase</w:t>
      </w:r>
      <w:proofErr w:type="spellEnd"/>
      <w:r w:rsidRPr="00264F55">
        <w:rPr>
          <w:rFonts w:ascii="Arial" w:hAnsi="Arial" w:cs="Arial"/>
          <w:sz w:val="32"/>
          <w:szCs w:val="32"/>
        </w:rPr>
        <w:t xml:space="preserve"> (NEP)</w:t>
      </w:r>
    </w:p>
    <w:p w:rsidR="00264F55" w:rsidRPr="00482F3C" w:rsidRDefault="00482F3C" w:rsidP="00FF405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proofErr w:type="spellStart"/>
      <w:r w:rsidRPr="00482F3C">
        <w:rPr>
          <w:rFonts w:ascii="Arial" w:hAnsi="Arial" w:cs="Arial"/>
          <w:sz w:val="28"/>
          <w:szCs w:val="28"/>
          <w:u w:val="single"/>
        </w:rPr>
        <w:t>Jagatkumar</w:t>
      </w:r>
      <w:proofErr w:type="spellEnd"/>
      <w:r w:rsidRPr="00482F3C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Pr="00482F3C">
        <w:rPr>
          <w:rFonts w:ascii="Arial" w:hAnsi="Arial" w:cs="Arial"/>
          <w:sz w:val="28"/>
          <w:szCs w:val="28"/>
          <w:u w:val="single"/>
        </w:rPr>
        <w:t>Upadhyay</w:t>
      </w:r>
      <w:proofErr w:type="spellEnd"/>
      <w:r w:rsidRPr="00482F3C">
        <w:rPr>
          <w:rFonts w:ascii="Arial" w:hAnsi="Arial" w:cs="Arial"/>
          <w:sz w:val="28"/>
          <w:szCs w:val="28"/>
          <w:u w:val="single"/>
        </w:rPr>
        <w:t>*</w:t>
      </w:r>
      <w:r w:rsidRPr="00482F3C">
        <w:rPr>
          <w:rFonts w:ascii="Arial" w:hAnsi="Arial" w:cs="Arial"/>
          <w:sz w:val="28"/>
          <w:szCs w:val="28"/>
        </w:rPr>
        <w:t xml:space="preserve">, Dr. B.N. </w:t>
      </w:r>
      <w:proofErr w:type="spellStart"/>
      <w:r w:rsidRPr="00482F3C">
        <w:rPr>
          <w:rFonts w:ascii="Arial" w:hAnsi="Arial" w:cs="Arial"/>
          <w:sz w:val="28"/>
          <w:szCs w:val="28"/>
        </w:rPr>
        <w:t>Suhagia</w:t>
      </w:r>
      <w:proofErr w:type="spellEnd"/>
    </w:p>
    <w:p w:rsidR="00482F3C" w:rsidRDefault="00482F3C" w:rsidP="00FF40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482F3C">
        <w:rPr>
          <w:rFonts w:ascii="Arial" w:hAnsi="Arial" w:cs="Arial"/>
          <w:sz w:val="24"/>
          <w:szCs w:val="24"/>
        </w:rPr>
        <w:t xml:space="preserve">Faculty of Pharmacy, </w:t>
      </w:r>
      <w:proofErr w:type="spellStart"/>
      <w:r w:rsidRPr="00482F3C">
        <w:rPr>
          <w:rFonts w:ascii="Arial" w:hAnsi="Arial" w:cs="Arial"/>
          <w:sz w:val="24"/>
          <w:szCs w:val="24"/>
        </w:rPr>
        <w:t>Dharmsinh</w:t>
      </w:r>
      <w:proofErr w:type="spellEnd"/>
      <w:r w:rsidRPr="00482F3C">
        <w:rPr>
          <w:rFonts w:ascii="Arial" w:hAnsi="Arial" w:cs="Arial"/>
          <w:sz w:val="24"/>
          <w:szCs w:val="24"/>
        </w:rPr>
        <w:t xml:space="preserve"> Desai University, Nadiad-387001, Gujarat</w:t>
      </w:r>
    </w:p>
    <w:p w:rsidR="00482F3C" w:rsidRPr="00482F3C" w:rsidRDefault="00482F3C" w:rsidP="00FF405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82F3C">
        <w:rPr>
          <w:rFonts w:ascii="Arial" w:hAnsi="Arial" w:cs="Arial"/>
          <w:sz w:val="20"/>
          <w:szCs w:val="20"/>
        </w:rPr>
        <w:t>jagatupadhyay.ph@ddu.ac.in</w:t>
      </w:r>
    </w:p>
    <w:p w:rsidR="00482F3C" w:rsidRPr="00482F3C" w:rsidRDefault="00482F3C" w:rsidP="00264F5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64F55" w:rsidRPr="00482F3C" w:rsidRDefault="00264F55" w:rsidP="00264F5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36495" w:rsidRDefault="00D36495" w:rsidP="00264F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64F55">
        <w:rPr>
          <w:rFonts w:ascii="Arial" w:hAnsi="Arial" w:cs="Arial"/>
          <w:sz w:val="24"/>
          <w:szCs w:val="24"/>
        </w:rPr>
        <w:t>In 2014, 422 million of the world's population had diabetes. This number is expected to reach 642 million</w:t>
      </w:r>
      <w:r w:rsidR="00D4056D">
        <w:rPr>
          <w:rFonts w:ascii="Arial" w:hAnsi="Arial" w:cs="Arial"/>
          <w:sz w:val="24"/>
          <w:szCs w:val="24"/>
        </w:rPr>
        <w:t xml:space="preserve"> by 2040. </w:t>
      </w:r>
      <w:proofErr w:type="spellStart"/>
      <w:r w:rsidR="00D4056D">
        <w:rPr>
          <w:rFonts w:ascii="Arial" w:hAnsi="Arial" w:cs="Arial"/>
          <w:sz w:val="24"/>
          <w:szCs w:val="24"/>
        </w:rPr>
        <w:t>Dipeptidyl</w:t>
      </w:r>
      <w:proofErr w:type="spellEnd"/>
      <w:r w:rsidR="00D4056D">
        <w:rPr>
          <w:rFonts w:ascii="Arial" w:hAnsi="Arial" w:cs="Arial"/>
          <w:sz w:val="24"/>
          <w:szCs w:val="24"/>
        </w:rPr>
        <w:t xml:space="preserve"> Peptidase IV (DPP IV</w:t>
      </w:r>
      <w:r w:rsidRPr="00264F55">
        <w:rPr>
          <w:rFonts w:ascii="Arial" w:hAnsi="Arial" w:cs="Arial"/>
          <w:sz w:val="24"/>
          <w:szCs w:val="24"/>
        </w:rPr>
        <w:t xml:space="preserve">) enzyme cleaves an </w:t>
      </w:r>
      <w:proofErr w:type="spellStart"/>
      <w:r w:rsidRPr="00264F55">
        <w:rPr>
          <w:rFonts w:ascii="Arial" w:hAnsi="Arial" w:cs="Arial"/>
          <w:sz w:val="24"/>
          <w:szCs w:val="24"/>
        </w:rPr>
        <w:t>incretin</w:t>
      </w:r>
      <w:proofErr w:type="spellEnd"/>
      <w:r w:rsidRPr="00264F55">
        <w:rPr>
          <w:rFonts w:ascii="Arial" w:hAnsi="Arial" w:cs="Arial"/>
          <w:sz w:val="24"/>
          <w:szCs w:val="24"/>
        </w:rPr>
        <w:t xml:space="preserve"> based </w:t>
      </w:r>
      <w:proofErr w:type="spellStart"/>
      <w:r w:rsidRPr="00264F55">
        <w:rPr>
          <w:rFonts w:ascii="Arial" w:hAnsi="Arial" w:cs="Arial"/>
          <w:sz w:val="24"/>
          <w:szCs w:val="24"/>
        </w:rPr>
        <w:t>glucoregulatory</w:t>
      </w:r>
      <w:proofErr w:type="spellEnd"/>
      <w:r w:rsidRPr="00264F55">
        <w:rPr>
          <w:rFonts w:ascii="Arial" w:hAnsi="Arial" w:cs="Arial"/>
          <w:sz w:val="24"/>
          <w:szCs w:val="24"/>
        </w:rPr>
        <w:t xml:space="preserve"> hormone Glucagon </w:t>
      </w:r>
      <w:proofErr w:type="gramStart"/>
      <w:r w:rsidRPr="00264F55">
        <w:rPr>
          <w:rFonts w:ascii="Arial" w:hAnsi="Arial" w:cs="Arial"/>
          <w:sz w:val="24"/>
          <w:szCs w:val="24"/>
        </w:rPr>
        <w:t>Like</w:t>
      </w:r>
      <w:proofErr w:type="gramEnd"/>
      <w:r w:rsidRPr="00264F55">
        <w:rPr>
          <w:rFonts w:ascii="Arial" w:hAnsi="Arial" w:cs="Arial"/>
          <w:sz w:val="24"/>
          <w:szCs w:val="24"/>
        </w:rPr>
        <w:t xml:space="preserve"> Peptide -1</w:t>
      </w:r>
      <w:r w:rsidR="00D4056D">
        <w:rPr>
          <w:rFonts w:ascii="Arial" w:hAnsi="Arial" w:cs="Arial"/>
          <w:sz w:val="24"/>
          <w:szCs w:val="24"/>
        </w:rPr>
        <w:t xml:space="preserve"> (GLP-1)</w:t>
      </w:r>
      <w:r w:rsidRPr="00264F55">
        <w:rPr>
          <w:rFonts w:ascii="Arial" w:hAnsi="Arial" w:cs="Arial"/>
          <w:sz w:val="24"/>
          <w:szCs w:val="24"/>
        </w:rPr>
        <w:t xml:space="preserve"> from N-terminal where penultimate amino acid is either </w:t>
      </w:r>
      <w:proofErr w:type="spellStart"/>
      <w:r w:rsidRPr="00264F55">
        <w:rPr>
          <w:rFonts w:ascii="Arial" w:hAnsi="Arial" w:cs="Arial"/>
          <w:sz w:val="24"/>
          <w:szCs w:val="24"/>
        </w:rPr>
        <w:t>alanine</w:t>
      </w:r>
      <w:proofErr w:type="spellEnd"/>
      <w:r w:rsidRPr="00264F55">
        <w:rPr>
          <w:rFonts w:ascii="Arial" w:hAnsi="Arial" w:cs="Arial"/>
          <w:sz w:val="24"/>
          <w:szCs w:val="24"/>
        </w:rPr>
        <w:t xml:space="preserve"> or </w:t>
      </w:r>
      <w:proofErr w:type="spellStart"/>
      <w:r w:rsidRPr="00264F55">
        <w:rPr>
          <w:rFonts w:ascii="Arial" w:hAnsi="Arial" w:cs="Arial"/>
          <w:sz w:val="24"/>
          <w:szCs w:val="24"/>
        </w:rPr>
        <w:t>proline</w:t>
      </w:r>
      <w:proofErr w:type="spellEnd"/>
      <w:r w:rsidRPr="00264F55">
        <w:rPr>
          <w:rFonts w:ascii="Arial" w:hAnsi="Arial" w:cs="Arial"/>
          <w:sz w:val="24"/>
          <w:szCs w:val="24"/>
        </w:rPr>
        <w:t>. Several DPP 4 inhibitors, “</w:t>
      </w:r>
      <w:proofErr w:type="spellStart"/>
      <w:r w:rsidRPr="00264F55">
        <w:rPr>
          <w:rFonts w:ascii="Arial" w:hAnsi="Arial" w:cs="Arial"/>
          <w:sz w:val="24"/>
          <w:szCs w:val="24"/>
        </w:rPr>
        <w:t>gliptins</w:t>
      </w:r>
      <w:proofErr w:type="spellEnd"/>
      <w:r w:rsidRPr="00264F55">
        <w:rPr>
          <w:rFonts w:ascii="Arial" w:hAnsi="Arial" w:cs="Arial"/>
          <w:sz w:val="24"/>
          <w:szCs w:val="24"/>
        </w:rPr>
        <w:t xml:space="preserve">”, are approved for management of Type 2 Diabetes or under clinical trial. </w:t>
      </w:r>
      <w:r w:rsidR="00D4056D">
        <w:rPr>
          <w:rFonts w:ascii="Arial" w:eastAsia="TimesNewRoman" w:hAnsi="Arial" w:cs="Arial"/>
          <w:sz w:val="24"/>
          <w:szCs w:val="24"/>
        </w:rPr>
        <w:t>Neutral endopeptidase</w:t>
      </w:r>
      <w:r w:rsidR="00D4056D" w:rsidRPr="00264F55">
        <w:rPr>
          <w:rFonts w:ascii="Arial" w:eastAsia="TimesNewRoman" w:hAnsi="Arial" w:cs="Arial"/>
          <w:color w:val="141314"/>
          <w:sz w:val="24"/>
          <w:szCs w:val="24"/>
        </w:rPr>
        <w:t xml:space="preserve"> </w:t>
      </w:r>
      <w:r w:rsidR="00D4056D">
        <w:rPr>
          <w:rFonts w:ascii="Arial" w:eastAsia="TimesNewRoman" w:hAnsi="Arial" w:cs="Arial"/>
          <w:color w:val="141314"/>
          <w:sz w:val="24"/>
          <w:szCs w:val="24"/>
        </w:rPr>
        <w:t>(</w:t>
      </w:r>
      <w:r w:rsidR="00D4056D" w:rsidRPr="00264F55">
        <w:rPr>
          <w:rFonts w:ascii="Arial" w:eastAsia="TimesNewRoman" w:hAnsi="Arial" w:cs="Arial"/>
          <w:color w:val="141314"/>
          <w:sz w:val="24"/>
          <w:szCs w:val="24"/>
        </w:rPr>
        <w:t>NEP</w:t>
      </w:r>
      <w:r w:rsidR="00D4056D">
        <w:rPr>
          <w:rFonts w:ascii="Arial" w:eastAsia="TimesNewRoman" w:hAnsi="Arial" w:cs="Arial"/>
          <w:color w:val="141314"/>
          <w:sz w:val="24"/>
          <w:szCs w:val="24"/>
        </w:rPr>
        <w:t>)</w:t>
      </w:r>
      <w:r w:rsidR="00D4056D" w:rsidRPr="00264F55">
        <w:rPr>
          <w:rFonts w:ascii="Arial" w:eastAsia="TimesNewRoman" w:hAnsi="Arial" w:cs="Arial"/>
          <w:color w:val="141314"/>
          <w:sz w:val="24"/>
          <w:szCs w:val="24"/>
        </w:rPr>
        <w:t xml:space="preserve"> </w:t>
      </w:r>
      <w:r w:rsidR="00D4056D">
        <w:rPr>
          <w:rFonts w:ascii="Arial" w:eastAsia="TimesNewRoman" w:hAnsi="Arial" w:cs="Arial"/>
          <w:color w:val="141314"/>
          <w:sz w:val="24"/>
          <w:szCs w:val="24"/>
        </w:rPr>
        <w:t xml:space="preserve">also </w:t>
      </w:r>
      <w:r w:rsidR="00D4056D" w:rsidRPr="00264F55">
        <w:rPr>
          <w:rFonts w:ascii="Arial" w:eastAsia="TimesNewRoman" w:hAnsi="Arial" w:cs="Arial"/>
          <w:color w:val="141314"/>
          <w:sz w:val="24"/>
          <w:szCs w:val="24"/>
        </w:rPr>
        <w:t>degrades</w:t>
      </w:r>
      <w:r w:rsidRPr="00264F55">
        <w:rPr>
          <w:rFonts w:ascii="Arial" w:eastAsia="TimesNewRoman" w:hAnsi="Arial" w:cs="Arial"/>
          <w:color w:val="141314"/>
          <w:sz w:val="24"/>
          <w:szCs w:val="24"/>
        </w:rPr>
        <w:t xml:space="preserve"> GLP-1. </w:t>
      </w:r>
      <w:r w:rsidRPr="00264F55">
        <w:rPr>
          <w:rFonts w:ascii="Arial" w:eastAsia="TimesNewRoman" w:hAnsi="Arial" w:cs="Arial"/>
          <w:sz w:val="24"/>
          <w:szCs w:val="24"/>
        </w:rPr>
        <w:t xml:space="preserve">Within the kidney, GLP-1 clearance is primarily due </w:t>
      </w:r>
      <w:r w:rsidR="00264F55">
        <w:rPr>
          <w:rFonts w:ascii="Arial" w:eastAsia="TimesNewRoman" w:hAnsi="Arial" w:cs="Arial"/>
          <w:sz w:val="24"/>
          <w:szCs w:val="24"/>
        </w:rPr>
        <w:t xml:space="preserve">to </w:t>
      </w:r>
      <w:r w:rsidR="00D4056D">
        <w:rPr>
          <w:rFonts w:ascii="Arial" w:eastAsia="TimesNewRoman" w:hAnsi="Arial" w:cs="Arial"/>
          <w:sz w:val="24"/>
          <w:szCs w:val="24"/>
        </w:rPr>
        <w:t>NEP</w:t>
      </w:r>
      <w:r w:rsidR="00264F55">
        <w:rPr>
          <w:rFonts w:ascii="Arial" w:eastAsia="TimesNewRoman" w:hAnsi="Arial" w:cs="Arial"/>
          <w:sz w:val="24"/>
          <w:szCs w:val="24"/>
        </w:rPr>
        <w:t xml:space="preserve">. </w:t>
      </w:r>
      <w:r w:rsidRPr="00264F55">
        <w:rPr>
          <w:rFonts w:ascii="Arial" w:eastAsia="TimesNewRoman" w:hAnsi="Arial" w:cs="Arial"/>
          <w:sz w:val="24"/>
          <w:szCs w:val="24"/>
        </w:rPr>
        <w:t xml:space="preserve">NEP inhibitors are </w:t>
      </w:r>
      <w:r w:rsidR="00D4056D">
        <w:rPr>
          <w:rFonts w:ascii="Arial" w:eastAsia="TimesNewRoman" w:hAnsi="Arial" w:cs="Arial"/>
          <w:sz w:val="24"/>
          <w:szCs w:val="24"/>
        </w:rPr>
        <w:t>used</w:t>
      </w:r>
      <w:r w:rsidRPr="00264F55">
        <w:rPr>
          <w:rFonts w:ascii="Arial" w:eastAsia="TimesNewRoman" w:hAnsi="Arial" w:cs="Arial"/>
          <w:sz w:val="24"/>
          <w:szCs w:val="24"/>
        </w:rPr>
        <w:t xml:space="preserve"> in </w:t>
      </w:r>
      <w:r w:rsidR="00D4056D">
        <w:rPr>
          <w:rFonts w:ascii="Arial" w:eastAsia="TimesNewRoman" w:hAnsi="Arial" w:cs="Arial"/>
          <w:sz w:val="24"/>
          <w:szCs w:val="24"/>
        </w:rPr>
        <w:t>management</w:t>
      </w:r>
      <w:r w:rsidRPr="00264F55">
        <w:rPr>
          <w:rFonts w:ascii="Arial" w:eastAsia="TimesNewRoman" w:hAnsi="Arial" w:cs="Arial"/>
          <w:sz w:val="24"/>
          <w:szCs w:val="24"/>
        </w:rPr>
        <w:t xml:space="preserve"> of hypertension and chronic heart failure.</w:t>
      </w:r>
      <w:r w:rsidR="00AF3D73" w:rsidRPr="00264F55">
        <w:rPr>
          <w:rFonts w:ascii="Arial" w:eastAsia="TimesNewRoman" w:hAnsi="Arial" w:cs="Arial"/>
          <w:sz w:val="24"/>
          <w:szCs w:val="24"/>
        </w:rPr>
        <w:t xml:space="preserve"> Hence combined inhibition of DPP IV and NEP </w:t>
      </w:r>
      <w:r w:rsidR="00D4056D">
        <w:rPr>
          <w:rFonts w:ascii="Arial" w:eastAsia="TimesNewRoman" w:hAnsi="Arial" w:cs="Arial"/>
          <w:sz w:val="24"/>
          <w:szCs w:val="24"/>
        </w:rPr>
        <w:t>could</w:t>
      </w:r>
      <w:r w:rsidR="00AF3D73" w:rsidRPr="00264F55">
        <w:rPr>
          <w:rFonts w:ascii="Arial" w:eastAsia="TimesNewRoman" w:hAnsi="Arial" w:cs="Arial"/>
          <w:sz w:val="24"/>
          <w:szCs w:val="24"/>
        </w:rPr>
        <w:t xml:space="preserve"> efficiently control hyperglycemia</w:t>
      </w:r>
      <w:r w:rsidR="00264F55">
        <w:rPr>
          <w:rFonts w:ascii="Arial" w:eastAsia="TimesNewRoman" w:hAnsi="Arial" w:cs="Arial"/>
          <w:sz w:val="24"/>
          <w:szCs w:val="24"/>
        </w:rPr>
        <w:t xml:space="preserve">. </w:t>
      </w:r>
      <w:r w:rsidRPr="00264F55">
        <w:rPr>
          <w:rFonts w:ascii="Arial" w:hAnsi="Arial" w:cs="Arial"/>
          <w:sz w:val="24"/>
          <w:szCs w:val="24"/>
        </w:rPr>
        <w:t>In present study, docking based virtual screening protocol was used for identification of new hits from the Specs Database, which would inhibit DPP IV and NEP</w:t>
      </w:r>
      <w:r w:rsidR="00D4056D">
        <w:rPr>
          <w:rFonts w:ascii="Arial" w:hAnsi="Arial" w:cs="Arial"/>
          <w:sz w:val="24"/>
          <w:szCs w:val="24"/>
        </w:rPr>
        <w:t xml:space="preserve"> enzymes</w:t>
      </w:r>
      <w:r w:rsidRPr="00264F55">
        <w:rPr>
          <w:rFonts w:ascii="Arial" w:hAnsi="Arial" w:cs="Arial"/>
          <w:sz w:val="24"/>
          <w:szCs w:val="24"/>
        </w:rPr>
        <w:t xml:space="preserve">. </w:t>
      </w:r>
      <w:r w:rsidRPr="00264F55">
        <w:rPr>
          <w:rFonts w:ascii="Arial" w:hAnsi="Arial" w:cs="Arial"/>
          <w:color w:val="000000"/>
          <w:sz w:val="24"/>
          <w:szCs w:val="24"/>
        </w:rPr>
        <w:t>The entire computational studies were performed using the Discovery Studio v. 4.1 (</w:t>
      </w:r>
      <w:proofErr w:type="spellStart"/>
      <w:r w:rsidRPr="00264F55">
        <w:rPr>
          <w:rFonts w:ascii="Arial" w:hAnsi="Arial" w:cs="Arial"/>
          <w:color w:val="000000"/>
          <w:sz w:val="24"/>
          <w:szCs w:val="24"/>
        </w:rPr>
        <w:t>Accelrys</w:t>
      </w:r>
      <w:proofErr w:type="spellEnd"/>
      <w:r w:rsidRPr="00264F55">
        <w:rPr>
          <w:rFonts w:ascii="Arial" w:hAnsi="Arial" w:cs="Arial"/>
          <w:color w:val="000000"/>
          <w:sz w:val="24"/>
          <w:szCs w:val="24"/>
        </w:rPr>
        <w:t xml:space="preserve"> Inc.) and FRED v. 2.2.5 (</w:t>
      </w:r>
      <w:proofErr w:type="spellStart"/>
      <w:r w:rsidRPr="00264F55">
        <w:rPr>
          <w:rFonts w:ascii="Arial" w:hAnsi="Arial" w:cs="Arial"/>
          <w:color w:val="000000"/>
          <w:sz w:val="24"/>
          <w:szCs w:val="24"/>
        </w:rPr>
        <w:t>OpenEye</w:t>
      </w:r>
      <w:proofErr w:type="spellEnd"/>
      <w:r w:rsidRPr="00264F55">
        <w:rPr>
          <w:rFonts w:ascii="Arial" w:hAnsi="Arial" w:cs="Arial"/>
          <w:color w:val="000000"/>
          <w:sz w:val="24"/>
          <w:szCs w:val="24"/>
        </w:rPr>
        <w:t xml:space="preserve"> Scientific Software). The specs database was prefiltered based on drug-likeness and docked </w:t>
      </w:r>
      <w:r w:rsidR="00264F55">
        <w:rPr>
          <w:rFonts w:ascii="Arial" w:hAnsi="Arial" w:cs="Arial"/>
          <w:color w:val="000000"/>
          <w:sz w:val="24"/>
          <w:szCs w:val="24"/>
        </w:rPr>
        <w:t>into active site of NEP (PDB-</w:t>
      </w:r>
      <w:r w:rsidRPr="00264F55">
        <w:rPr>
          <w:rFonts w:ascii="Arial" w:hAnsi="Arial" w:cs="Arial"/>
          <w:color w:val="000000"/>
          <w:sz w:val="24"/>
          <w:szCs w:val="24"/>
        </w:rPr>
        <w:t xml:space="preserve"> 2QPJ). Top ranking hits from the docking were further docked into active site of DPP IV (</w:t>
      </w:r>
      <w:r w:rsidR="00264F55">
        <w:rPr>
          <w:rFonts w:ascii="Arial" w:hAnsi="Arial" w:cs="Arial"/>
          <w:color w:val="000000"/>
          <w:sz w:val="24"/>
          <w:szCs w:val="24"/>
        </w:rPr>
        <w:t xml:space="preserve">PDB- </w:t>
      </w:r>
      <w:r w:rsidRPr="00264F55">
        <w:rPr>
          <w:rFonts w:ascii="Arial" w:hAnsi="Arial" w:cs="Arial"/>
          <w:color w:val="000000"/>
          <w:sz w:val="24"/>
          <w:szCs w:val="24"/>
        </w:rPr>
        <w:t>2OGZ).</w:t>
      </w:r>
      <w:r w:rsidR="00AF3D73" w:rsidRPr="00264F55">
        <w:rPr>
          <w:rFonts w:ascii="Arial" w:hAnsi="Arial" w:cs="Arial"/>
          <w:color w:val="000000"/>
          <w:sz w:val="24"/>
          <w:szCs w:val="24"/>
        </w:rPr>
        <w:t xml:space="preserve"> Hits resulting from the end of docking were clustered based on fingerprint (ECFP). </w:t>
      </w:r>
      <w:r w:rsidR="00264F55">
        <w:rPr>
          <w:rFonts w:ascii="Arial" w:hAnsi="Arial" w:cs="Arial"/>
          <w:color w:val="000000"/>
          <w:sz w:val="24"/>
          <w:szCs w:val="24"/>
        </w:rPr>
        <w:t>H</w:t>
      </w:r>
      <w:r w:rsidR="00AF3D73" w:rsidRPr="00264F55">
        <w:rPr>
          <w:rFonts w:ascii="Arial" w:hAnsi="Arial" w:cs="Arial"/>
          <w:color w:val="000000"/>
          <w:sz w:val="24"/>
          <w:szCs w:val="24"/>
        </w:rPr>
        <w:t xml:space="preserve">its were analyzed for interaction with DPP IV and NEP. </w:t>
      </w:r>
      <w:r w:rsidR="00264F55" w:rsidRPr="00264F55">
        <w:rPr>
          <w:rFonts w:ascii="Arial" w:eastAsia="Times New Roman" w:hAnsi="Arial" w:cs="Arial"/>
          <w:color w:val="000000"/>
          <w:sz w:val="24"/>
          <w:szCs w:val="24"/>
        </w:rPr>
        <w:t xml:space="preserve">Based on docking studies, virtual hits were predicted to form interaction with essential amino acid residues of DPP IV and NEP </w:t>
      </w:r>
      <w:r w:rsidR="00482F3C" w:rsidRPr="00264F55">
        <w:rPr>
          <w:rFonts w:ascii="Arial" w:eastAsia="Times New Roman" w:hAnsi="Arial" w:cs="Arial"/>
          <w:color w:val="000000"/>
          <w:sz w:val="24"/>
          <w:szCs w:val="24"/>
        </w:rPr>
        <w:t>has</w:t>
      </w:r>
      <w:r w:rsidR="00264F55" w:rsidRPr="00264F55">
        <w:rPr>
          <w:rFonts w:ascii="Arial" w:eastAsia="Times New Roman" w:hAnsi="Arial" w:cs="Arial"/>
          <w:color w:val="000000"/>
          <w:sz w:val="24"/>
          <w:szCs w:val="24"/>
        </w:rPr>
        <w:t xml:space="preserve"> almost similar binding orientation as that of reference molecule. Structures of such hits are disclosed here. </w:t>
      </w:r>
    </w:p>
    <w:p w:rsidR="00AE1120" w:rsidRDefault="00AE1120" w:rsidP="00264F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E1120" w:rsidRDefault="00AE1120" w:rsidP="00264F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4053">
        <w:rPr>
          <w:rFonts w:ascii="Arial" w:eastAsia="Times New Roman" w:hAnsi="Arial" w:cs="Arial"/>
          <w:b/>
          <w:color w:val="000000"/>
          <w:sz w:val="24"/>
          <w:szCs w:val="24"/>
        </w:rPr>
        <w:t>Thrust Area: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Computational Chemistry</w:t>
      </w:r>
    </w:p>
    <w:p w:rsidR="00FF4053" w:rsidRDefault="00AE1120" w:rsidP="00264F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4053">
        <w:rPr>
          <w:rFonts w:ascii="Arial" w:eastAsia="Times New Roman" w:hAnsi="Arial" w:cs="Arial"/>
          <w:b/>
          <w:color w:val="000000"/>
          <w:sz w:val="24"/>
          <w:szCs w:val="24"/>
        </w:rPr>
        <w:t>Category: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C3B8E">
        <w:rPr>
          <w:rFonts w:ascii="Arial" w:eastAsia="Times New Roman" w:hAnsi="Arial" w:cs="Arial"/>
          <w:color w:val="000000"/>
          <w:sz w:val="24"/>
          <w:szCs w:val="24"/>
        </w:rPr>
        <w:t>Research</w:t>
      </w:r>
    </w:p>
    <w:p w:rsidR="00FF4053" w:rsidRDefault="00FF4053" w:rsidP="00264F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A05FC" w:rsidRDefault="00CA05FC" w:rsidP="00264F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F4053" w:rsidRDefault="00FF4053" w:rsidP="00264F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FF4053" w:rsidSect="00EC39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36495"/>
    <w:rsid w:val="0023709B"/>
    <w:rsid w:val="00264F55"/>
    <w:rsid w:val="00482F3C"/>
    <w:rsid w:val="00665D6F"/>
    <w:rsid w:val="009C3B8E"/>
    <w:rsid w:val="00AE1120"/>
    <w:rsid w:val="00AF3D73"/>
    <w:rsid w:val="00B778E7"/>
    <w:rsid w:val="00C41023"/>
    <w:rsid w:val="00CA05FC"/>
    <w:rsid w:val="00D36495"/>
    <w:rsid w:val="00D4056D"/>
    <w:rsid w:val="00EC3912"/>
    <w:rsid w:val="00FF4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9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0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2018-12-29T03:51:00Z</dcterms:created>
  <dcterms:modified xsi:type="dcterms:W3CDTF">2018-12-29T07:45:00Z</dcterms:modified>
</cp:coreProperties>
</file>