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6F" w:rsidRPr="005D37E3" w:rsidRDefault="00FE212F" w:rsidP="00AA5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Well-defined Copper(II) Catalysts for One-pot </w:t>
      </w:r>
      <w:r w:rsidR="001C3A0F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 xml:space="preserve">ynthesis of 1,2,3-Triazole from </w:t>
      </w:r>
      <w:r w:rsidR="002071A4">
        <w:rPr>
          <w:rFonts w:ascii="Arial" w:hAnsi="Arial" w:cs="Arial"/>
          <w:b/>
          <w:sz w:val="32"/>
          <w:szCs w:val="32"/>
        </w:rPr>
        <w:t>Click Reaction of Aryl B</w:t>
      </w:r>
      <w:r w:rsidR="0086686B" w:rsidRPr="005D37E3">
        <w:rPr>
          <w:rFonts w:ascii="Arial" w:hAnsi="Arial" w:cs="Arial"/>
          <w:b/>
          <w:sz w:val="32"/>
          <w:szCs w:val="32"/>
        </w:rPr>
        <w:t>oronic</w:t>
      </w:r>
      <w:r w:rsidR="002071A4">
        <w:rPr>
          <w:rFonts w:ascii="Arial" w:hAnsi="Arial" w:cs="Arial"/>
          <w:b/>
          <w:sz w:val="32"/>
          <w:szCs w:val="32"/>
        </w:rPr>
        <w:t>A</w:t>
      </w:r>
      <w:r w:rsidR="0086686B" w:rsidRPr="005D37E3">
        <w:rPr>
          <w:rFonts w:ascii="Arial" w:hAnsi="Arial" w:cs="Arial"/>
          <w:b/>
          <w:sz w:val="32"/>
          <w:szCs w:val="32"/>
        </w:rPr>
        <w:t>cid</w:t>
      </w:r>
      <w:r w:rsidR="002071A4">
        <w:rPr>
          <w:rFonts w:ascii="Arial" w:hAnsi="Arial" w:cs="Arial"/>
          <w:b/>
          <w:sz w:val="32"/>
          <w:szCs w:val="32"/>
        </w:rPr>
        <w:t>s</w:t>
      </w:r>
      <w:r w:rsidR="0086686B" w:rsidRPr="005D37E3">
        <w:rPr>
          <w:rFonts w:ascii="Arial" w:hAnsi="Arial" w:cs="Arial"/>
          <w:b/>
          <w:sz w:val="32"/>
          <w:szCs w:val="32"/>
        </w:rPr>
        <w:t xml:space="preserve">, </w:t>
      </w:r>
      <w:r w:rsidR="002071A4">
        <w:rPr>
          <w:rFonts w:ascii="Arial" w:hAnsi="Arial" w:cs="Arial"/>
          <w:b/>
          <w:sz w:val="32"/>
          <w:szCs w:val="32"/>
        </w:rPr>
        <w:t>S</w:t>
      </w:r>
      <w:r w:rsidR="0086686B" w:rsidRPr="005D37E3">
        <w:rPr>
          <w:rFonts w:ascii="Arial" w:hAnsi="Arial" w:cs="Arial"/>
          <w:b/>
          <w:sz w:val="32"/>
          <w:szCs w:val="32"/>
        </w:rPr>
        <w:t xml:space="preserve">odium </w:t>
      </w:r>
      <w:r w:rsidR="002071A4">
        <w:rPr>
          <w:rFonts w:ascii="Arial" w:hAnsi="Arial" w:cs="Arial"/>
          <w:b/>
          <w:sz w:val="32"/>
          <w:szCs w:val="32"/>
        </w:rPr>
        <w:t>A</w:t>
      </w:r>
      <w:r w:rsidR="0086686B" w:rsidRPr="005D37E3">
        <w:rPr>
          <w:rFonts w:ascii="Arial" w:hAnsi="Arial" w:cs="Arial"/>
          <w:b/>
          <w:sz w:val="32"/>
          <w:szCs w:val="32"/>
        </w:rPr>
        <w:t xml:space="preserve">zide and </w:t>
      </w:r>
      <w:r w:rsidR="002071A4">
        <w:rPr>
          <w:rFonts w:ascii="Arial" w:hAnsi="Arial" w:cs="Arial"/>
          <w:b/>
          <w:sz w:val="32"/>
          <w:szCs w:val="32"/>
        </w:rPr>
        <w:t>T</w:t>
      </w:r>
      <w:r w:rsidR="0086686B" w:rsidRPr="005D37E3">
        <w:rPr>
          <w:rFonts w:ascii="Arial" w:hAnsi="Arial" w:cs="Arial"/>
          <w:b/>
          <w:sz w:val="32"/>
          <w:szCs w:val="32"/>
        </w:rPr>
        <w:t xml:space="preserve">erminal </w:t>
      </w:r>
      <w:r w:rsidR="002071A4">
        <w:rPr>
          <w:rFonts w:ascii="Arial" w:hAnsi="Arial" w:cs="Arial"/>
          <w:b/>
          <w:sz w:val="32"/>
          <w:szCs w:val="32"/>
        </w:rPr>
        <w:t>A</w:t>
      </w:r>
      <w:r w:rsidR="0086686B" w:rsidRPr="005D37E3">
        <w:rPr>
          <w:rFonts w:ascii="Arial" w:hAnsi="Arial" w:cs="Arial"/>
          <w:b/>
          <w:sz w:val="32"/>
          <w:szCs w:val="32"/>
        </w:rPr>
        <w:t xml:space="preserve">lkynes </w:t>
      </w:r>
    </w:p>
    <w:p w:rsidR="0026786F" w:rsidRPr="0093086F" w:rsidRDefault="0026786F" w:rsidP="00267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D37E3">
        <w:rPr>
          <w:rFonts w:ascii="Arial" w:hAnsi="Arial" w:cs="Arial"/>
          <w:color w:val="000000"/>
          <w:sz w:val="28"/>
          <w:szCs w:val="28"/>
          <w:u w:val="single"/>
        </w:rPr>
        <w:t>DeepikaSahil</w:t>
      </w:r>
      <w:r w:rsidRPr="005D37E3">
        <w:rPr>
          <w:rFonts w:ascii="Arial" w:hAnsi="Arial" w:cs="Arial"/>
          <w:color w:val="000000"/>
          <w:sz w:val="28"/>
          <w:szCs w:val="28"/>
        </w:rPr>
        <w:t xml:space="preserve">, </w:t>
      </w:r>
      <w:r w:rsidR="000A7B5F" w:rsidRPr="005D37E3">
        <w:rPr>
          <w:rFonts w:ascii="Arial" w:hAnsi="Arial" w:cs="Arial"/>
          <w:color w:val="000000"/>
          <w:sz w:val="28"/>
          <w:szCs w:val="28"/>
        </w:rPr>
        <w:t xml:space="preserve">Dr. </w:t>
      </w:r>
      <w:r w:rsidRPr="005D37E3">
        <w:rPr>
          <w:rFonts w:ascii="Arial" w:hAnsi="Arial" w:cs="Arial"/>
          <w:color w:val="000000"/>
          <w:sz w:val="28"/>
          <w:szCs w:val="28"/>
        </w:rPr>
        <w:t>Chandrakanta Dash</w:t>
      </w:r>
      <w:r w:rsidRPr="0093086F">
        <w:rPr>
          <w:rFonts w:ascii="Arial" w:hAnsi="Arial" w:cs="Arial"/>
          <w:color w:val="000000"/>
          <w:sz w:val="24"/>
          <w:szCs w:val="24"/>
        </w:rPr>
        <w:t>*</w:t>
      </w:r>
    </w:p>
    <w:p w:rsidR="0026786F" w:rsidRPr="0093086F" w:rsidRDefault="0026786F" w:rsidP="00EB3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93086F">
        <w:rPr>
          <w:rFonts w:ascii="Arial" w:hAnsi="Arial" w:cs="Arial"/>
          <w:i/>
          <w:iCs/>
          <w:color w:val="000000"/>
          <w:sz w:val="24"/>
          <w:szCs w:val="24"/>
        </w:rPr>
        <w:t>Department of Chemistry, School of Chemical Sciences and Pharmacy</w:t>
      </w:r>
      <w:r w:rsidR="00EB31A6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r w:rsidRPr="0093086F">
        <w:rPr>
          <w:rFonts w:ascii="Arial" w:hAnsi="Arial" w:cs="Arial"/>
          <w:i/>
          <w:iCs/>
          <w:color w:val="000000"/>
          <w:sz w:val="24"/>
          <w:szCs w:val="24"/>
        </w:rPr>
        <w:t>Central University of Rajasthan, Kishangarh, Ajmer, Rajasthan</w:t>
      </w:r>
    </w:p>
    <w:p w:rsidR="0026786F" w:rsidRPr="0093086F" w:rsidRDefault="0026786F" w:rsidP="0026786F">
      <w:pPr>
        <w:spacing w:line="240" w:lineRule="auto"/>
        <w:jc w:val="center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93086F">
        <w:rPr>
          <w:rFonts w:ascii="Arial" w:hAnsi="Arial" w:cs="Arial"/>
          <w:i/>
          <w:iCs/>
          <w:color w:val="000000"/>
          <w:sz w:val="20"/>
          <w:szCs w:val="20"/>
        </w:rPr>
        <w:t xml:space="preserve">E-mail: </w:t>
      </w:r>
      <w:hyperlink r:id="rId6" w:history="1">
        <w:r w:rsidRPr="0093086F">
          <w:rPr>
            <w:rStyle w:val="Hyperlink"/>
            <w:rFonts w:ascii="Arial" w:hAnsi="Arial" w:cs="Arial"/>
            <w:i/>
            <w:iCs/>
            <w:sz w:val="20"/>
            <w:szCs w:val="20"/>
            <w:lang w:val="en-IN"/>
          </w:rPr>
          <w:t>ckdash@curaj.ac.in</w:t>
        </w:r>
      </w:hyperlink>
      <w:r w:rsidRPr="0093086F">
        <w:rPr>
          <w:rFonts w:ascii="Arial" w:hAnsi="Arial" w:cs="Arial"/>
          <w:i/>
          <w:iCs/>
          <w:color w:val="000000"/>
          <w:sz w:val="20"/>
          <w:szCs w:val="20"/>
          <w:lang w:val="en-IN"/>
        </w:rPr>
        <w:t>, deepika3779@gmail.com</w:t>
      </w:r>
    </w:p>
    <w:p w:rsidR="0026786F" w:rsidRPr="00AA50DB" w:rsidRDefault="0026786F" w:rsidP="00EB31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50DB">
        <w:rPr>
          <w:rFonts w:ascii="Arial" w:hAnsi="Arial" w:cs="Arial"/>
          <w:b/>
          <w:sz w:val="24"/>
          <w:szCs w:val="24"/>
        </w:rPr>
        <w:t>Abstract:</w:t>
      </w:r>
    </w:p>
    <w:p w:rsidR="002071A4" w:rsidRPr="002071A4" w:rsidRDefault="002071A4" w:rsidP="00EB31A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AA50DB">
        <w:rPr>
          <w:rFonts w:ascii="Arial" w:hAnsi="Arial" w:cs="Arial"/>
          <w:sz w:val="24"/>
          <w:szCs w:val="24"/>
        </w:rPr>
        <w:t>‘Click’ chemistry is a powerful tool in drug discovery and these reactions that regiospecific, atom economy and gives high product yield</w:t>
      </w:r>
      <w:r>
        <w:rPr>
          <w:rFonts w:ascii="Arial" w:hAnsi="Arial" w:cs="Arial"/>
          <w:sz w:val="24"/>
          <w:szCs w:val="24"/>
        </w:rPr>
        <w:t>.</w:t>
      </w:r>
      <w:r w:rsidR="001C3A0F">
        <w:rPr>
          <w:rFonts w:ascii="Arial" w:hAnsi="Arial" w:cs="Arial"/>
          <w:sz w:val="24"/>
          <w:szCs w:val="24"/>
          <w:vertAlign w:val="superscript"/>
        </w:rPr>
        <w:t>1</w:t>
      </w:r>
      <w:r w:rsidR="00A1386F">
        <w:rPr>
          <w:rFonts w:ascii="Arial" w:hAnsi="Arial" w:cs="Arial"/>
          <w:sz w:val="24"/>
          <w:szCs w:val="24"/>
        </w:rPr>
        <w:t xml:space="preserve">1,3,-Dipolar cycloaddition reaction of azides and alkynes by copper(I) catalyst </w:t>
      </w:r>
      <w:r w:rsidR="001C3A0F">
        <w:rPr>
          <w:rFonts w:ascii="Arial" w:hAnsi="Arial" w:cs="Arial"/>
          <w:sz w:val="24"/>
          <w:szCs w:val="24"/>
        </w:rPr>
        <w:t xml:space="preserve">(Click reaction) </w:t>
      </w:r>
      <w:r w:rsidR="00A1386F">
        <w:rPr>
          <w:rFonts w:ascii="Arial" w:hAnsi="Arial" w:cs="Arial"/>
          <w:sz w:val="24"/>
          <w:szCs w:val="24"/>
        </w:rPr>
        <w:t>gained popularity in recent years in the field of medicinal chemistry, biological and bio</w:t>
      </w:r>
      <w:r w:rsidR="001C3A0F">
        <w:rPr>
          <w:rFonts w:ascii="Arial" w:hAnsi="Arial" w:cs="Arial"/>
          <w:sz w:val="24"/>
          <w:szCs w:val="24"/>
        </w:rPr>
        <w:t>medical research.</w:t>
      </w:r>
      <w:r w:rsidR="00EB31A6" w:rsidRPr="00EB31A6">
        <w:rPr>
          <w:rFonts w:ascii="Arial" w:hAnsi="Arial" w:cs="Arial"/>
          <w:sz w:val="24"/>
          <w:szCs w:val="24"/>
          <w:vertAlign w:val="superscript"/>
        </w:rPr>
        <w:t>2</w:t>
      </w:r>
      <w:r w:rsidR="001C3A0F">
        <w:rPr>
          <w:rFonts w:ascii="Arial" w:hAnsi="Arial" w:cs="Arial"/>
          <w:sz w:val="24"/>
          <w:szCs w:val="24"/>
        </w:rPr>
        <w:t xml:space="preserve"> In comparison with copper(I) based catalysts,</w:t>
      </w:r>
      <w:r w:rsidR="00A1386F">
        <w:rPr>
          <w:rFonts w:ascii="Arial" w:hAnsi="Arial" w:cs="Arial"/>
          <w:sz w:val="24"/>
          <w:szCs w:val="24"/>
        </w:rPr>
        <w:t xml:space="preserve"> well-defined copper(II) catalysts having suitable ligands are less studied. In this context</w:t>
      </w:r>
      <w:r w:rsidR="001C3A0F">
        <w:rPr>
          <w:rFonts w:ascii="Arial" w:hAnsi="Arial" w:cs="Arial"/>
          <w:sz w:val="24"/>
          <w:szCs w:val="24"/>
        </w:rPr>
        <w:t>,</w:t>
      </w:r>
      <w:r w:rsidR="00A1386F">
        <w:rPr>
          <w:rFonts w:ascii="Arial" w:hAnsi="Arial" w:cs="Arial"/>
          <w:sz w:val="24"/>
          <w:szCs w:val="24"/>
        </w:rPr>
        <w:t xml:space="preserve"> we have synthesized two new copper(II) complexes having </w:t>
      </w:r>
      <w:r w:rsidR="00A1386F" w:rsidRPr="00AA50DB">
        <w:rPr>
          <w:rFonts w:ascii="Arial" w:hAnsi="Arial" w:cs="Arial"/>
          <w:sz w:val="24"/>
          <w:szCs w:val="24"/>
        </w:rPr>
        <w:t>2,6-</w:t>
      </w:r>
      <w:r w:rsidR="00A1386F" w:rsidRPr="001C3A0F">
        <w:rPr>
          <w:rFonts w:ascii="Arial" w:hAnsi="Arial" w:cs="Arial"/>
          <w:i/>
          <w:sz w:val="24"/>
          <w:szCs w:val="24"/>
        </w:rPr>
        <w:t>bis</w:t>
      </w:r>
      <w:r w:rsidR="00A1386F" w:rsidRPr="00AA50DB">
        <w:rPr>
          <w:rFonts w:ascii="Arial" w:hAnsi="Arial" w:cs="Arial"/>
          <w:sz w:val="24"/>
          <w:szCs w:val="24"/>
        </w:rPr>
        <w:t>(ary</w:t>
      </w:r>
      <w:r w:rsidR="004025DE">
        <w:rPr>
          <w:rFonts w:ascii="Arial" w:hAnsi="Arial" w:cs="Arial"/>
          <w:sz w:val="24"/>
          <w:szCs w:val="24"/>
        </w:rPr>
        <w:t>li</w:t>
      </w:r>
      <w:r w:rsidR="00A1386F" w:rsidRPr="00AA50DB">
        <w:rPr>
          <w:rFonts w:ascii="Arial" w:hAnsi="Arial" w:cs="Arial"/>
          <w:sz w:val="24"/>
          <w:szCs w:val="24"/>
        </w:rPr>
        <w:t>mino)pyridine ligand</w:t>
      </w:r>
      <w:r w:rsidR="004025DE">
        <w:rPr>
          <w:rFonts w:ascii="Arial" w:hAnsi="Arial" w:cs="Arial"/>
          <w:sz w:val="24"/>
          <w:szCs w:val="24"/>
        </w:rPr>
        <w:t xml:space="preserve"> moiety.</w:t>
      </w:r>
      <w:r w:rsidR="00EB31A6">
        <w:rPr>
          <w:rFonts w:ascii="Arial" w:hAnsi="Arial" w:cs="Arial"/>
          <w:sz w:val="24"/>
          <w:szCs w:val="24"/>
          <w:vertAlign w:val="superscript"/>
        </w:rPr>
        <w:t>3</w:t>
      </w:r>
      <w:r w:rsidR="001C3A0F">
        <w:rPr>
          <w:rFonts w:ascii="Arial" w:hAnsi="Arial" w:cs="Arial"/>
          <w:sz w:val="24"/>
          <w:szCs w:val="24"/>
        </w:rPr>
        <w:t xml:space="preserve">The copper(II) complexes were characterized by CHNS, IR and UV-Vis spectroscopic techniques. One of the copper(II) complex was characterized by X-ray crystallography. </w:t>
      </w:r>
      <w:r w:rsidR="004025DE">
        <w:rPr>
          <w:rFonts w:ascii="Arial" w:hAnsi="Arial" w:cs="Arial"/>
          <w:sz w:val="24"/>
          <w:szCs w:val="24"/>
        </w:rPr>
        <w:t xml:space="preserve">The copper(II) complexes show efficient catalytic activity for one-pot synthesis of 1,4-substituted 1,2,3-triazoles </w:t>
      </w:r>
      <w:r w:rsidR="001C3A0F">
        <w:rPr>
          <w:rFonts w:ascii="Arial" w:hAnsi="Arial" w:cs="Arial"/>
          <w:sz w:val="24"/>
          <w:szCs w:val="24"/>
        </w:rPr>
        <w:t xml:space="preserve">from click reaction of aryl boronic acids, sodium azides and terminal alkynes. </w:t>
      </w:r>
      <w:r w:rsidR="001C3A0F" w:rsidRPr="00AA50DB">
        <w:rPr>
          <w:rFonts w:ascii="Arial" w:hAnsi="Arial" w:cs="Arial"/>
          <w:sz w:val="24"/>
          <w:szCs w:val="24"/>
        </w:rPr>
        <w:t>The reaction</w:t>
      </w:r>
      <w:r w:rsidR="001C3A0F">
        <w:rPr>
          <w:rFonts w:ascii="Arial" w:hAnsi="Arial" w:cs="Arial"/>
          <w:sz w:val="24"/>
          <w:szCs w:val="24"/>
        </w:rPr>
        <w:t xml:space="preserve">s are </w:t>
      </w:r>
      <w:r w:rsidR="001C3A0F" w:rsidRPr="00AA50DB">
        <w:rPr>
          <w:rFonts w:ascii="Arial" w:hAnsi="Arial" w:cs="Arial"/>
          <w:sz w:val="24"/>
          <w:szCs w:val="24"/>
        </w:rPr>
        <w:t xml:space="preserve">carried out </w:t>
      </w:r>
      <w:r w:rsidR="001C3A0F">
        <w:rPr>
          <w:rFonts w:ascii="Arial" w:hAnsi="Arial" w:cs="Arial"/>
          <w:sz w:val="24"/>
          <w:szCs w:val="24"/>
        </w:rPr>
        <w:t xml:space="preserve">by using </w:t>
      </w:r>
      <w:r w:rsidR="001C3A0F" w:rsidRPr="00AA50DB">
        <w:rPr>
          <w:rFonts w:ascii="Arial" w:hAnsi="Arial" w:cs="Arial"/>
          <w:sz w:val="24"/>
          <w:szCs w:val="24"/>
        </w:rPr>
        <w:t xml:space="preserve">1 mol% catalyst loading </w:t>
      </w:r>
      <w:r w:rsidR="001C3A0F">
        <w:rPr>
          <w:rFonts w:ascii="Arial" w:hAnsi="Arial" w:cs="Arial"/>
          <w:sz w:val="24"/>
          <w:szCs w:val="24"/>
        </w:rPr>
        <w:t>in aqueous medium</w:t>
      </w:r>
      <w:r w:rsidR="001C3A0F" w:rsidRPr="00AA50DB">
        <w:rPr>
          <w:rFonts w:ascii="Arial" w:hAnsi="Arial" w:cs="Arial"/>
          <w:sz w:val="24"/>
          <w:szCs w:val="24"/>
        </w:rPr>
        <w:t>.</w:t>
      </w:r>
      <w:r w:rsidR="001C3A0F">
        <w:rPr>
          <w:rFonts w:ascii="Arial" w:hAnsi="Arial" w:cs="Arial"/>
          <w:sz w:val="24"/>
          <w:szCs w:val="24"/>
        </w:rPr>
        <w:t xml:space="preserve"> Here in, the synthesis, characterization and catalytic application of new copper(II) complexes will be discussed. </w:t>
      </w:r>
    </w:p>
    <w:p w:rsidR="0086686B" w:rsidRPr="0093086F" w:rsidRDefault="00D44BC1" w:rsidP="00B50B44">
      <w:pPr>
        <w:spacing w:line="240" w:lineRule="auto"/>
        <w:ind w:left="1440" w:firstLine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086F">
        <w:rPr>
          <w:rFonts w:ascii="Arial" w:hAnsi="Arial" w:cs="Arial"/>
        </w:rPr>
        <w:object w:dxaOrig="6998" w:dyaOrig="1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6pt;height:62.8pt" o:ole="">
            <v:imagedata r:id="rId7" o:title=""/>
          </v:shape>
          <o:OLEObject Type="Embed" ProgID="ChemDraw.Document.6.0" ShapeID="_x0000_i1025" DrawAspect="Content" ObjectID="_1607970028" r:id="rId8"/>
        </w:object>
      </w:r>
    </w:p>
    <w:p w:rsidR="0026786F" w:rsidRDefault="00B50B44" w:rsidP="0037731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3086F">
        <w:rPr>
          <w:rFonts w:ascii="Arial" w:hAnsi="Arial" w:cs="Arial"/>
          <w:sz w:val="20"/>
          <w:szCs w:val="20"/>
        </w:rPr>
        <w:tab/>
      </w:r>
      <w:r w:rsidRPr="0093086F">
        <w:rPr>
          <w:rFonts w:ascii="Arial" w:hAnsi="Arial" w:cs="Arial"/>
          <w:sz w:val="20"/>
          <w:szCs w:val="20"/>
        </w:rPr>
        <w:tab/>
      </w:r>
      <w:r w:rsidRPr="0093086F">
        <w:rPr>
          <w:rFonts w:ascii="Arial" w:hAnsi="Arial" w:cs="Arial"/>
          <w:sz w:val="20"/>
          <w:szCs w:val="20"/>
        </w:rPr>
        <w:tab/>
      </w:r>
      <w:r w:rsidR="00064FF7" w:rsidRPr="0093086F">
        <w:rPr>
          <w:rFonts w:ascii="Arial" w:hAnsi="Arial" w:cs="Arial"/>
          <w:sz w:val="20"/>
          <w:szCs w:val="20"/>
        </w:rPr>
        <w:tab/>
      </w:r>
      <w:r w:rsidR="001C3A0F" w:rsidRPr="0093086F">
        <w:rPr>
          <w:rFonts w:ascii="Arial" w:hAnsi="Arial" w:cs="Arial"/>
        </w:rPr>
        <w:object w:dxaOrig="4800" w:dyaOrig="2245">
          <v:shape id="_x0000_i1026" type="#_x0000_t75" style="width:141.1pt;height:66.25pt" o:ole="">
            <v:imagedata r:id="rId9" o:title=""/>
          </v:shape>
          <o:OLEObject Type="Embed" ProgID="ChemDraw.Document.6.0" ShapeID="_x0000_i1026" DrawAspect="Content" ObjectID="_1607970029" r:id="rId10"/>
        </w:object>
      </w:r>
      <w:bookmarkStart w:id="0" w:name="_GoBack"/>
      <w:bookmarkEnd w:id="0"/>
    </w:p>
    <w:p w:rsidR="00AA50DB" w:rsidRPr="00AA50DB" w:rsidRDefault="0026786F" w:rsidP="00EB31A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50DB">
        <w:rPr>
          <w:rFonts w:ascii="Arial" w:hAnsi="Arial" w:cs="Arial"/>
          <w:b/>
          <w:sz w:val="24"/>
          <w:szCs w:val="24"/>
        </w:rPr>
        <w:t>References:</w:t>
      </w:r>
    </w:p>
    <w:p w:rsidR="00A1386F" w:rsidRDefault="0026786F" w:rsidP="00EB3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086F">
        <w:rPr>
          <w:rFonts w:ascii="Arial" w:hAnsi="Arial" w:cs="Arial"/>
          <w:sz w:val="24"/>
          <w:szCs w:val="24"/>
        </w:rPr>
        <w:t>[1].</w:t>
      </w:r>
      <w:r w:rsidR="00A1386F" w:rsidRPr="00A1386F">
        <w:rPr>
          <w:rFonts w:ascii="Arial" w:hAnsi="Arial" w:cs="Arial"/>
          <w:sz w:val="24"/>
          <w:szCs w:val="24"/>
        </w:rPr>
        <w:t>Kolb,  H. C.; Finn,  M. G.; Sharpless, K. B</w:t>
      </w:r>
      <w:r w:rsidR="00A1386F" w:rsidRPr="00A1386F">
        <w:rPr>
          <w:rFonts w:ascii="Arial" w:hAnsi="Arial" w:cs="Arial"/>
          <w:i/>
          <w:iCs/>
          <w:sz w:val="24"/>
          <w:szCs w:val="24"/>
        </w:rPr>
        <w:t>. Angew. Chem. Int. Ed</w:t>
      </w:r>
      <w:r w:rsidR="00A1386F" w:rsidRPr="00A1386F">
        <w:rPr>
          <w:rFonts w:ascii="Arial" w:hAnsi="Arial" w:cs="Arial"/>
          <w:sz w:val="24"/>
          <w:szCs w:val="24"/>
        </w:rPr>
        <w:t xml:space="preserve">. </w:t>
      </w:r>
      <w:r w:rsidR="00A1386F" w:rsidRPr="00A1386F">
        <w:rPr>
          <w:rFonts w:ascii="Arial" w:hAnsi="Arial" w:cs="Arial"/>
          <w:b/>
          <w:bCs/>
          <w:sz w:val="24"/>
          <w:szCs w:val="24"/>
        </w:rPr>
        <w:t>2001</w:t>
      </w:r>
      <w:r w:rsidR="00A1386F" w:rsidRPr="00A1386F">
        <w:rPr>
          <w:rFonts w:ascii="Arial" w:hAnsi="Arial" w:cs="Arial"/>
          <w:sz w:val="24"/>
          <w:szCs w:val="24"/>
        </w:rPr>
        <w:t xml:space="preserve">, </w:t>
      </w:r>
      <w:r w:rsidR="00A1386F" w:rsidRPr="00A1386F">
        <w:rPr>
          <w:rFonts w:ascii="Arial" w:hAnsi="Arial" w:cs="Arial"/>
          <w:i/>
          <w:iCs/>
          <w:sz w:val="24"/>
          <w:szCs w:val="24"/>
        </w:rPr>
        <w:t>40</w:t>
      </w:r>
      <w:r w:rsidR="00A1386F" w:rsidRPr="00A1386F">
        <w:rPr>
          <w:rFonts w:ascii="Arial" w:hAnsi="Arial" w:cs="Arial"/>
          <w:sz w:val="24"/>
          <w:szCs w:val="24"/>
        </w:rPr>
        <w:t>, 2004-2021.</w:t>
      </w:r>
    </w:p>
    <w:p w:rsidR="00EB31A6" w:rsidRPr="00EB31A6" w:rsidRDefault="00EB31A6" w:rsidP="00EB31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B31A6">
        <w:rPr>
          <w:rFonts w:ascii="Arial" w:hAnsi="Arial" w:cs="Arial"/>
          <w:sz w:val="24"/>
          <w:szCs w:val="24"/>
        </w:rPr>
        <w:t xml:space="preserve">[2]. Meldal, M.; Tornoe, C. W. </w:t>
      </w:r>
      <w:r w:rsidRPr="00EB31A6">
        <w:rPr>
          <w:rFonts w:ascii="Arial" w:hAnsi="Arial" w:cs="Arial"/>
          <w:i/>
          <w:iCs/>
          <w:sz w:val="24"/>
          <w:szCs w:val="24"/>
        </w:rPr>
        <w:t>Chem. Rev</w:t>
      </w:r>
      <w:r w:rsidRPr="00EB31A6">
        <w:rPr>
          <w:rFonts w:ascii="Arial" w:hAnsi="Arial" w:cs="Arial"/>
          <w:sz w:val="24"/>
          <w:szCs w:val="24"/>
        </w:rPr>
        <w:t xml:space="preserve">. </w:t>
      </w:r>
      <w:r w:rsidRPr="00EB31A6">
        <w:rPr>
          <w:rFonts w:ascii="Arial" w:hAnsi="Arial" w:cs="Arial"/>
          <w:b/>
          <w:bCs/>
          <w:sz w:val="24"/>
          <w:szCs w:val="24"/>
        </w:rPr>
        <w:t xml:space="preserve">2008, </w:t>
      </w:r>
      <w:r w:rsidRPr="00EB31A6">
        <w:rPr>
          <w:rFonts w:ascii="Arial" w:hAnsi="Arial" w:cs="Arial"/>
          <w:i/>
          <w:iCs/>
          <w:sz w:val="24"/>
          <w:szCs w:val="24"/>
        </w:rPr>
        <w:t>108</w:t>
      </w:r>
      <w:r w:rsidRPr="00EB31A6">
        <w:rPr>
          <w:rFonts w:ascii="Arial" w:hAnsi="Arial" w:cs="Arial"/>
          <w:sz w:val="24"/>
          <w:szCs w:val="24"/>
        </w:rPr>
        <w:t>, 2952-3015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A50DB" w:rsidRPr="00EB31A6" w:rsidRDefault="00A1386F" w:rsidP="00EB31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1A6">
        <w:rPr>
          <w:rFonts w:ascii="Arial" w:hAnsi="Arial" w:cs="Arial"/>
          <w:sz w:val="24"/>
          <w:szCs w:val="24"/>
        </w:rPr>
        <w:t>[</w:t>
      </w:r>
      <w:r w:rsidR="00EB31A6" w:rsidRPr="00EB31A6">
        <w:rPr>
          <w:rFonts w:ascii="Arial" w:hAnsi="Arial" w:cs="Arial"/>
          <w:sz w:val="24"/>
          <w:szCs w:val="24"/>
        </w:rPr>
        <w:t>3</w:t>
      </w:r>
      <w:r w:rsidRPr="00EB31A6">
        <w:rPr>
          <w:rFonts w:ascii="Arial" w:hAnsi="Arial" w:cs="Arial"/>
          <w:sz w:val="24"/>
          <w:szCs w:val="24"/>
        </w:rPr>
        <w:t xml:space="preserve">]. </w:t>
      </w:r>
      <w:r w:rsidR="005D37E3" w:rsidRPr="00EB31A6">
        <w:rPr>
          <w:rFonts w:ascii="Arial" w:hAnsi="Arial" w:cs="Arial"/>
          <w:sz w:val="24"/>
          <w:szCs w:val="24"/>
        </w:rPr>
        <w:t>Wong,</w:t>
      </w:r>
      <w:r w:rsidR="0093086F" w:rsidRPr="00EB31A6">
        <w:rPr>
          <w:rFonts w:ascii="Arial" w:hAnsi="Arial" w:cs="Arial"/>
          <w:sz w:val="24"/>
          <w:szCs w:val="24"/>
        </w:rPr>
        <w:t xml:space="preserve"> W-Y.; Lee, S-F.; Chan, H-S.; Mak</w:t>
      </w:r>
      <w:r w:rsidR="005D37E3" w:rsidRPr="00EB31A6">
        <w:rPr>
          <w:rFonts w:ascii="Arial" w:hAnsi="Arial" w:cs="Arial"/>
          <w:sz w:val="24"/>
          <w:szCs w:val="24"/>
        </w:rPr>
        <w:t>, T.</w:t>
      </w:r>
      <w:r w:rsidR="0093086F" w:rsidRPr="00EB31A6">
        <w:rPr>
          <w:rFonts w:ascii="Arial" w:hAnsi="Arial" w:cs="Arial"/>
          <w:sz w:val="24"/>
          <w:szCs w:val="24"/>
        </w:rPr>
        <w:t xml:space="preserve"> C</w:t>
      </w:r>
      <w:r w:rsidR="005D37E3" w:rsidRPr="00EB31A6">
        <w:rPr>
          <w:rFonts w:ascii="Arial" w:hAnsi="Arial" w:cs="Arial"/>
          <w:sz w:val="24"/>
          <w:szCs w:val="24"/>
        </w:rPr>
        <w:t>.</w:t>
      </w:r>
      <w:r w:rsidR="0093086F" w:rsidRPr="00EB31A6">
        <w:rPr>
          <w:rFonts w:ascii="Arial" w:hAnsi="Arial" w:cs="Arial"/>
          <w:sz w:val="24"/>
          <w:szCs w:val="24"/>
        </w:rPr>
        <w:t xml:space="preserve"> W.; Wong,</w:t>
      </w:r>
      <w:r w:rsidR="005D37E3" w:rsidRPr="00EB31A6">
        <w:rPr>
          <w:rFonts w:ascii="Arial" w:hAnsi="Arial" w:cs="Arial"/>
          <w:sz w:val="24"/>
          <w:szCs w:val="24"/>
        </w:rPr>
        <w:t xml:space="preserve"> C-H.; Huang, L-S.; Stoddart, J.</w:t>
      </w:r>
      <w:r w:rsidR="0093086F" w:rsidRPr="00EB31A6">
        <w:rPr>
          <w:rFonts w:ascii="Arial" w:hAnsi="Arial" w:cs="Arial"/>
          <w:sz w:val="24"/>
          <w:szCs w:val="24"/>
        </w:rPr>
        <w:t xml:space="preserve"> F.;</w:t>
      </w:r>
      <w:r w:rsidR="005D37E3" w:rsidRPr="00EB31A6">
        <w:rPr>
          <w:rFonts w:ascii="Arial" w:hAnsi="Arial" w:cs="Arial"/>
          <w:sz w:val="24"/>
          <w:szCs w:val="24"/>
        </w:rPr>
        <w:t xml:space="preserve"> Leung, K. C.</w:t>
      </w:r>
      <w:r w:rsidR="00AF217B" w:rsidRPr="00EB31A6">
        <w:rPr>
          <w:rFonts w:ascii="Arial" w:hAnsi="Arial" w:cs="Arial"/>
          <w:sz w:val="24"/>
          <w:szCs w:val="24"/>
        </w:rPr>
        <w:t xml:space="preserve"> F.; </w:t>
      </w:r>
      <w:r w:rsidR="0037731A" w:rsidRPr="00EB31A6">
        <w:rPr>
          <w:rFonts w:ascii="Arial" w:hAnsi="Arial" w:cs="Arial"/>
          <w:i/>
          <w:sz w:val="24"/>
          <w:szCs w:val="24"/>
        </w:rPr>
        <w:t xml:space="preserve">RSC Adv., </w:t>
      </w:r>
      <w:r w:rsidR="0037731A" w:rsidRPr="00EB31A6">
        <w:rPr>
          <w:rFonts w:ascii="Arial" w:hAnsi="Arial" w:cs="Arial"/>
          <w:b/>
          <w:sz w:val="24"/>
          <w:szCs w:val="24"/>
        </w:rPr>
        <w:t>2013</w:t>
      </w:r>
      <w:r w:rsidR="0037731A" w:rsidRPr="00EB31A6">
        <w:rPr>
          <w:rFonts w:ascii="Arial" w:hAnsi="Arial" w:cs="Arial"/>
          <w:sz w:val="24"/>
          <w:szCs w:val="24"/>
        </w:rPr>
        <w:t xml:space="preserve">, </w:t>
      </w:r>
      <w:r w:rsidR="0037731A" w:rsidRPr="00EB31A6">
        <w:rPr>
          <w:rFonts w:ascii="Arial" w:hAnsi="Arial" w:cs="Arial"/>
          <w:i/>
          <w:sz w:val="24"/>
          <w:szCs w:val="24"/>
        </w:rPr>
        <w:t>3</w:t>
      </w:r>
      <w:r w:rsidR="0037731A" w:rsidRPr="00EB31A6">
        <w:rPr>
          <w:rFonts w:ascii="Arial" w:hAnsi="Arial" w:cs="Arial"/>
          <w:sz w:val="24"/>
          <w:szCs w:val="24"/>
        </w:rPr>
        <w:t xml:space="preserve">, 26383-26390. </w:t>
      </w:r>
    </w:p>
    <w:p w:rsidR="00EB31A6" w:rsidRDefault="00EB31A6" w:rsidP="00EB3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31A6" w:rsidRDefault="00EB31A6" w:rsidP="00EB3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31A6" w:rsidRDefault="00EB31A6" w:rsidP="00EB31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00AA">
        <w:rPr>
          <w:rFonts w:ascii="Arial" w:hAnsi="Arial" w:cs="Arial"/>
          <w:sz w:val="24"/>
          <w:szCs w:val="24"/>
        </w:rPr>
        <w:t>Thr</w:t>
      </w:r>
      <w:r>
        <w:rPr>
          <w:rFonts w:ascii="Arial" w:hAnsi="Arial" w:cs="Arial"/>
          <w:sz w:val="24"/>
          <w:szCs w:val="24"/>
        </w:rPr>
        <w:t>ust area – Organometallics and H</w:t>
      </w:r>
      <w:r w:rsidRPr="006400AA">
        <w:rPr>
          <w:rFonts w:ascii="Arial" w:hAnsi="Arial" w:cs="Arial"/>
          <w:sz w:val="24"/>
          <w:szCs w:val="24"/>
        </w:rPr>
        <w:t>omogenous catalysis</w:t>
      </w:r>
    </w:p>
    <w:p w:rsidR="00EB31A6" w:rsidRDefault="00EB31A6" w:rsidP="00EB3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31A6" w:rsidRPr="006400AA" w:rsidRDefault="00EB31A6" w:rsidP="00EB31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00AA">
        <w:rPr>
          <w:rFonts w:ascii="Arial" w:hAnsi="Arial" w:cs="Arial"/>
          <w:sz w:val="24"/>
          <w:szCs w:val="24"/>
        </w:rPr>
        <w:t>Research scholar, Department of Chemistry, School of Chemical Sciences &amp; Pharmacy,Central University of Rajasthan</w:t>
      </w:r>
    </w:p>
    <w:p w:rsidR="00EB31A6" w:rsidRDefault="00EB31A6" w:rsidP="00A1386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EB31A6" w:rsidSect="00EB31A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DCE" w:rsidRDefault="00695DCE" w:rsidP="005D37E3">
      <w:pPr>
        <w:spacing w:after="0" w:line="240" w:lineRule="auto"/>
      </w:pPr>
      <w:r>
        <w:separator/>
      </w:r>
    </w:p>
  </w:endnote>
  <w:endnote w:type="continuationSeparator" w:id="1">
    <w:p w:rsidR="00695DCE" w:rsidRDefault="00695DCE" w:rsidP="005D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DCE" w:rsidRDefault="00695DCE" w:rsidP="005D37E3">
      <w:pPr>
        <w:spacing w:after="0" w:line="240" w:lineRule="auto"/>
      </w:pPr>
      <w:r>
        <w:separator/>
      </w:r>
    </w:p>
  </w:footnote>
  <w:footnote w:type="continuationSeparator" w:id="1">
    <w:p w:rsidR="00695DCE" w:rsidRDefault="00695DCE" w:rsidP="005D3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a0NLA0MDAztDS1NDM1NTNU0lEKTi0uzszPAykwqgUA2eKsCywAAAA="/>
  </w:docVars>
  <w:rsids>
    <w:rsidRoot w:val="0026786F"/>
    <w:rsid w:val="00064FF7"/>
    <w:rsid w:val="000918F3"/>
    <w:rsid w:val="00094258"/>
    <w:rsid w:val="000A7B5F"/>
    <w:rsid w:val="00102018"/>
    <w:rsid w:val="001B30D6"/>
    <w:rsid w:val="001B6F02"/>
    <w:rsid w:val="001C3A0F"/>
    <w:rsid w:val="001C721D"/>
    <w:rsid w:val="002071A4"/>
    <w:rsid w:val="0024123D"/>
    <w:rsid w:val="0026786F"/>
    <w:rsid w:val="002868D9"/>
    <w:rsid w:val="00315A31"/>
    <w:rsid w:val="0037731A"/>
    <w:rsid w:val="00394EDE"/>
    <w:rsid w:val="00396FD5"/>
    <w:rsid w:val="00401CD3"/>
    <w:rsid w:val="004025DE"/>
    <w:rsid w:val="00466550"/>
    <w:rsid w:val="00532001"/>
    <w:rsid w:val="005D37E3"/>
    <w:rsid w:val="0060532F"/>
    <w:rsid w:val="00616C40"/>
    <w:rsid w:val="006801E1"/>
    <w:rsid w:val="00695DCE"/>
    <w:rsid w:val="007122C5"/>
    <w:rsid w:val="00735AA9"/>
    <w:rsid w:val="0086686B"/>
    <w:rsid w:val="0089728F"/>
    <w:rsid w:val="008A065E"/>
    <w:rsid w:val="008D3AEC"/>
    <w:rsid w:val="0093086F"/>
    <w:rsid w:val="009440E5"/>
    <w:rsid w:val="00967702"/>
    <w:rsid w:val="00A1386F"/>
    <w:rsid w:val="00A63966"/>
    <w:rsid w:val="00AA50DB"/>
    <w:rsid w:val="00AF217B"/>
    <w:rsid w:val="00AF6CA4"/>
    <w:rsid w:val="00B50B44"/>
    <w:rsid w:val="00B97B8D"/>
    <w:rsid w:val="00BA0F92"/>
    <w:rsid w:val="00BF3F61"/>
    <w:rsid w:val="00C0431D"/>
    <w:rsid w:val="00C2361D"/>
    <w:rsid w:val="00C952D3"/>
    <w:rsid w:val="00CC1F65"/>
    <w:rsid w:val="00D44BC1"/>
    <w:rsid w:val="00D57ED5"/>
    <w:rsid w:val="00D631B7"/>
    <w:rsid w:val="00DA01F0"/>
    <w:rsid w:val="00E9755D"/>
    <w:rsid w:val="00EB31A6"/>
    <w:rsid w:val="00F336A8"/>
    <w:rsid w:val="00F414C8"/>
    <w:rsid w:val="00FE2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78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0B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3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37E3"/>
  </w:style>
  <w:style w:type="paragraph" w:styleId="Footer">
    <w:name w:val="footer"/>
    <w:basedOn w:val="Normal"/>
    <w:link w:val="FooterChar"/>
    <w:uiPriority w:val="99"/>
    <w:semiHidden/>
    <w:unhideWhenUsed/>
    <w:rsid w:val="005D3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78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0B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3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37E3"/>
  </w:style>
  <w:style w:type="paragraph" w:styleId="Footer">
    <w:name w:val="footer"/>
    <w:basedOn w:val="Normal"/>
    <w:link w:val="FooterChar"/>
    <w:uiPriority w:val="99"/>
    <w:semiHidden/>
    <w:unhideWhenUsed/>
    <w:rsid w:val="005D3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dash@curaj.ac.i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user</cp:lastModifiedBy>
  <cp:revision>2</cp:revision>
  <dcterms:created xsi:type="dcterms:W3CDTF">2019-01-02T16:04:00Z</dcterms:created>
  <dcterms:modified xsi:type="dcterms:W3CDTF">2019-01-02T16:04:00Z</dcterms:modified>
</cp:coreProperties>
</file>