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44" w:rsidRDefault="006D1044" w:rsidP="004035A7">
      <w:pPr>
        <w:tabs>
          <w:tab w:val="left" w:pos="3134"/>
        </w:tabs>
        <w:jc w:val="center"/>
        <w:rPr>
          <w:b/>
          <w:sz w:val="44"/>
          <w:szCs w:val="44"/>
          <w:u w:val="single"/>
        </w:rPr>
      </w:pPr>
      <w:r>
        <w:rPr>
          <w:b/>
          <w:sz w:val="44"/>
          <w:szCs w:val="44"/>
          <w:u w:val="single"/>
        </w:rPr>
        <w:t>ABSTRACT FOR ORAL PRESENTATION</w:t>
      </w:r>
    </w:p>
    <w:p w:rsidR="00A07D85" w:rsidRPr="00C968E9" w:rsidRDefault="00AF6907" w:rsidP="004035A7">
      <w:pPr>
        <w:tabs>
          <w:tab w:val="left" w:pos="3134"/>
        </w:tabs>
        <w:jc w:val="center"/>
        <w:rPr>
          <w:b/>
          <w:sz w:val="32"/>
          <w:szCs w:val="32"/>
        </w:rPr>
      </w:pPr>
      <w:r>
        <w:rPr>
          <w:b/>
          <w:sz w:val="32"/>
          <w:szCs w:val="32"/>
        </w:rPr>
        <w:t>Molecular Complex :</w:t>
      </w:r>
      <w:r w:rsidR="00BA1049">
        <w:rPr>
          <w:b/>
          <w:sz w:val="32"/>
          <w:szCs w:val="32"/>
        </w:rPr>
        <w:t xml:space="preserve"> Supramolecular two component three </w:t>
      </w:r>
      <w:r w:rsidR="00A07D85" w:rsidRPr="00C968E9">
        <w:rPr>
          <w:b/>
          <w:sz w:val="32"/>
          <w:szCs w:val="32"/>
        </w:rPr>
        <w:t>dimensional gel</w:t>
      </w:r>
    </w:p>
    <w:p w:rsidR="00C968E9" w:rsidRPr="006D4E46" w:rsidRDefault="00C968E9" w:rsidP="00C968E9">
      <w:pPr>
        <w:spacing w:after="0" w:line="360" w:lineRule="auto"/>
        <w:jc w:val="center"/>
        <w:rPr>
          <w:b/>
          <w:sz w:val="28"/>
          <w:szCs w:val="28"/>
        </w:rPr>
      </w:pPr>
      <w:r w:rsidRPr="006D4E46">
        <w:rPr>
          <w:b/>
          <w:sz w:val="28"/>
          <w:szCs w:val="28"/>
          <w:u w:val="single"/>
        </w:rPr>
        <w:t>Jyotsna S. Meshram</w:t>
      </w:r>
      <w:r w:rsidRPr="006D4E46">
        <w:rPr>
          <w:b/>
          <w:sz w:val="28"/>
          <w:szCs w:val="28"/>
        </w:rPr>
        <w:t>, Devendra S. Raghuvanshi</w:t>
      </w:r>
    </w:p>
    <w:p w:rsidR="00C968E9" w:rsidRPr="006D4E46" w:rsidRDefault="00C968E9" w:rsidP="006D4E46">
      <w:pPr>
        <w:spacing w:after="0" w:line="240" w:lineRule="auto"/>
        <w:jc w:val="center"/>
        <w:rPr>
          <w:b/>
          <w:iCs/>
          <w:sz w:val="24"/>
          <w:szCs w:val="24"/>
        </w:rPr>
      </w:pPr>
      <w:r w:rsidRPr="006D4E46">
        <w:rPr>
          <w:b/>
          <w:iCs/>
          <w:sz w:val="24"/>
          <w:szCs w:val="24"/>
        </w:rPr>
        <w:t>School of Chemical Sciences, North Maharashtra University, Jalgaon (MS), INDIA</w:t>
      </w:r>
    </w:p>
    <w:p w:rsidR="00C968E9" w:rsidRPr="006D4E46" w:rsidRDefault="006521D9" w:rsidP="006D4E46">
      <w:pPr>
        <w:spacing w:after="0" w:line="240" w:lineRule="auto"/>
        <w:jc w:val="center"/>
        <w:rPr>
          <w:b/>
          <w:i/>
          <w:iCs/>
          <w:sz w:val="24"/>
          <w:szCs w:val="24"/>
        </w:rPr>
      </w:pPr>
      <w:hyperlink r:id="rId6" w:history="1">
        <w:r w:rsidR="00C968E9" w:rsidRPr="006D4E46">
          <w:rPr>
            <w:rStyle w:val="Hyperlink"/>
            <w:iCs/>
            <w:sz w:val="24"/>
            <w:szCs w:val="24"/>
          </w:rPr>
          <w:t>drjsmeshram@gmail.com</w:t>
        </w:r>
      </w:hyperlink>
    </w:p>
    <w:p w:rsidR="00A07D85" w:rsidRPr="006D4E46" w:rsidRDefault="00C968E9" w:rsidP="006D4E46">
      <w:pPr>
        <w:spacing w:line="240" w:lineRule="auto"/>
        <w:rPr>
          <w:b/>
          <w:sz w:val="24"/>
          <w:szCs w:val="24"/>
        </w:rPr>
      </w:pPr>
      <w:r w:rsidRPr="006D4E46">
        <w:rPr>
          <w:b/>
          <w:sz w:val="24"/>
          <w:szCs w:val="24"/>
        </w:rPr>
        <w:t>Abstract:</w:t>
      </w:r>
    </w:p>
    <w:p w:rsidR="00745024" w:rsidRPr="006D4E46" w:rsidRDefault="00A07D85" w:rsidP="006D4E46">
      <w:pPr>
        <w:tabs>
          <w:tab w:val="left" w:pos="6133"/>
        </w:tabs>
        <w:spacing w:line="240" w:lineRule="auto"/>
        <w:jc w:val="both"/>
        <w:rPr>
          <w:sz w:val="24"/>
          <w:szCs w:val="24"/>
        </w:rPr>
      </w:pPr>
      <w:r w:rsidRPr="006D4E46">
        <w:rPr>
          <w:sz w:val="24"/>
          <w:szCs w:val="24"/>
        </w:rPr>
        <w:t xml:space="preserve">Supramolecular chemistry is an important area for the molecular recognition of molecules. Herein in this presentation we report receptor </w:t>
      </w:r>
      <w:r w:rsidR="004035A7" w:rsidRPr="006D4E46">
        <w:rPr>
          <w:sz w:val="24"/>
          <w:szCs w:val="24"/>
        </w:rPr>
        <w:t xml:space="preserve">temperature dependent </w:t>
      </w:r>
      <w:r w:rsidRPr="006D4E46">
        <w:rPr>
          <w:sz w:val="24"/>
          <w:szCs w:val="24"/>
        </w:rPr>
        <w:t xml:space="preserve">architecture constructed acting as host </w:t>
      </w:r>
      <w:r w:rsidR="00603D9E" w:rsidRPr="006D4E46">
        <w:rPr>
          <w:sz w:val="24"/>
          <w:szCs w:val="24"/>
        </w:rPr>
        <w:t xml:space="preserve">having </w:t>
      </w:r>
      <w:r w:rsidR="003F4828" w:rsidRPr="006D4E46">
        <w:rPr>
          <w:sz w:val="24"/>
          <w:szCs w:val="24"/>
        </w:rPr>
        <w:t xml:space="preserve">covalent organic framework with </w:t>
      </w:r>
      <w:r w:rsidR="000F6413" w:rsidRPr="006D4E46">
        <w:rPr>
          <w:sz w:val="24"/>
          <w:szCs w:val="24"/>
        </w:rPr>
        <w:t>lamell</w:t>
      </w:r>
      <w:r w:rsidR="00603D9E" w:rsidRPr="006D4E46">
        <w:rPr>
          <w:sz w:val="24"/>
          <w:szCs w:val="24"/>
        </w:rPr>
        <w:t xml:space="preserve">ar layered assembly </w:t>
      </w:r>
      <w:r w:rsidRPr="006D4E46">
        <w:rPr>
          <w:sz w:val="24"/>
          <w:szCs w:val="24"/>
        </w:rPr>
        <w:t>for guest binding to form molecular complex. Stable poly azo azine based receptor I is designed, synthesized and characterized. The anion acceptor binds with the protonated  donor receptor by N-H----O and C-H----O hydrogen bonds forming supramolecular  ring motif. The supramolecular ring is architectured by receptor cation and  anions. The single crystal is grown by slow evaporation and stability of the motif  study is reported in this presentation.</w:t>
      </w:r>
    </w:p>
    <w:p w:rsidR="00E73A72" w:rsidRPr="006D4E46" w:rsidRDefault="00A07D85" w:rsidP="006D4E46">
      <w:pPr>
        <w:tabs>
          <w:tab w:val="left" w:pos="6133"/>
        </w:tabs>
        <w:spacing w:line="240" w:lineRule="auto"/>
        <w:jc w:val="both"/>
        <w:rPr>
          <w:sz w:val="24"/>
          <w:szCs w:val="24"/>
        </w:rPr>
      </w:pPr>
      <w:r w:rsidRPr="006D4E46">
        <w:rPr>
          <w:sz w:val="24"/>
          <w:szCs w:val="24"/>
        </w:rPr>
        <w:t xml:space="preserve">Key words; Supramolecule, </w:t>
      </w:r>
      <w:r w:rsidR="00CE3A28" w:rsidRPr="006D4E46">
        <w:rPr>
          <w:sz w:val="24"/>
          <w:szCs w:val="24"/>
        </w:rPr>
        <w:t>polya</w:t>
      </w:r>
      <w:r w:rsidRPr="006D4E46">
        <w:rPr>
          <w:sz w:val="24"/>
          <w:szCs w:val="24"/>
        </w:rPr>
        <w:t>zo-azine, donor, acceptor, hydrogen bond</w:t>
      </w:r>
    </w:p>
    <w:p w:rsidR="00E73A72" w:rsidRDefault="00E73A72" w:rsidP="00E73A72"/>
    <w:p w:rsidR="00A07D85" w:rsidRDefault="00A07D85" w:rsidP="00745024">
      <w:pPr>
        <w:tabs>
          <w:tab w:val="left" w:pos="6133"/>
        </w:tabs>
        <w:jc w:val="both"/>
      </w:pPr>
      <w:r>
        <w:tab/>
      </w:r>
    </w:p>
    <w:p w:rsidR="006D7035" w:rsidRDefault="006D7035" w:rsidP="00A07D85">
      <w:pPr>
        <w:tabs>
          <w:tab w:val="left" w:pos="6133"/>
          <w:tab w:val="left" w:pos="6895"/>
        </w:tabs>
        <w:jc w:val="both"/>
      </w:pPr>
      <w:r>
        <w:rPr>
          <w:noProof/>
        </w:rPr>
        <w:drawing>
          <wp:anchor distT="0" distB="0" distL="114300" distR="114300" simplePos="0" relativeHeight="251658240" behindDoc="0" locked="0" layoutInCell="1" allowOverlap="1">
            <wp:simplePos x="933450" y="4695825"/>
            <wp:positionH relativeFrom="column">
              <wp:align>left</wp:align>
            </wp:positionH>
            <wp:positionV relativeFrom="paragraph">
              <wp:align>top</wp:align>
            </wp:positionV>
            <wp:extent cx="2238375" cy="1676400"/>
            <wp:effectExtent l="19050" t="0" r="9525" b="0"/>
            <wp:wrapSquare wrapText="bothSides"/>
            <wp:docPr id="1" name="Picture 1" descr="G:\28.07.14 SEM\TETA+Glyoxal gel\GEL 1_m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8.07.14 SEM\TETA+Glyoxal gel\GEL 1_m005.tif"/>
                    <pic:cNvPicPr>
                      <a:picLocks noChangeAspect="1" noChangeArrowheads="1"/>
                    </pic:cNvPicPr>
                  </pic:nvPicPr>
                  <pic:blipFill>
                    <a:blip r:embed="rId7" cstate="print"/>
                    <a:srcRect/>
                    <a:stretch>
                      <a:fillRect/>
                    </a:stretch>
                  </pic:blipFill>
                  <pic:spPr bwMode="auto">
                    <a:xfrm>
                      <a:off x="0" y="0"/>
                      <a:ext cx="2238375" cy="1676400"/>
                    </a:xfrm>
                    <a:prstGeom prst="rect">
                      <a:avLst/>
                    </a:prstGeom>
                    <a:noFill/>
                    <a:ln w="9525">
                      <a:noFill/>
                      <a:miter lim="800000"/>
                      <a:headEnd/>
                      <a:tailEnd/>
                    </a:ln>
                  </pic:spPr>
                </pic:pic>
              </a:graphicData>
            </a:graphic>
          </wp:anchor>
        </w:drawing>
      </w:r>
      <w:r w:rsidR="00E73A72">
        <w:t xml:space="preserve">                    </w:t>
      </w:r>
      <w:r>
        <w:t xml:space="preserve"> </w:t>
      </w:r>
      <w:r w:rsidR="00E73A72" w:rsidRPr="00E73A72">
        <w:rPr>
          <w:noProof/>
        </w:rPr>
        <w:drawing>
          <wp:inline distT="0" distB="0" distL="0" distR="0">
            <wp:extent cx="2781300" cy="158115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781300" cy="1581150"/>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inline>
        </w:drawing>
      </w:r>
      <w:r>
        <w:br w:type="textWrapping" w:clear="all"/>
        <w:t>SEM IMAGE OF POLYMERIC AZO-AZINE GEL</w:t>
      </w:r>
    </w:p>
    <w:p w:rsidR="00A07D85" w:rsidRDefault="00A07D85" w:rsidP="00A07D85"/>
    <w:p w:rsidR="00A07D85" w:rsidRPr="00FF3606" w:rsidRDefault="00A07D85" w:rsidP="00A07D85">
      <w:pPr>
        <w:ind w:firstLine="720"/>
      </w:pPr>
    </w:p>
    <w:p w:rsidR="00D83F3F" w:rsidRDefault="00D83F3F"/>
    <w:sectPr w:rsidR="00D83F3F" w:rsidSect="007669EB">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CCE" w:rsidRDefault="00A36CCE" w:rsidP="00A07D85">
      <w:pPr>
        <w:spacing w:after="0" w:line="240" w:lineRule="auto"/>
      </w:pPr>
      <w:r>
        <w:separator/>
      </w:r>
    </w:p>
  </w:endnote>
  <w:endnote w:type="continuationSeparator" w:id="1">
    <w:p w:rsidR="00A36CCE" w:rsidRDefault="00A36CCE" w:rsidP="00A07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CCE" w:rsidRDefault="00A36CCE" w:rsidP="00A07D85">
      <w:pPr>
        <w:spacing w:after="0" w:line="240" w:lineRule="auto"/>
      </w:pPr>
      <w:r>
        <w:separator/>
      </w:r>
    </w:p>
  </w:footnote>
  <w:footnote w:type="continuationSeparator" w:id="1">
    <w:p w:rsidR="00A36CCE" w:rsidRDefault="00A36CCE" w:rsidP="00A07D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7D85"/>
    <w:rsid w:val="000355C9"/>
    <w:rsid w:val="00075698"/>
    <w:rsid w:val="000F6413"/>
    <w:rsid w:val="00115BC7"/>
    <w:rsid w:val="00133789"/>
    <w:rsid w:val="003A1785"/>
    <w:rsid w:val="003D0E64"/>
    <w:rsid w:val="003F4828"/>
    <w:rsid w:val="004035A7"/>
    <w:rsid w:val="00456C00"/>
    <w:rsid w:val="00603D9E"/>
    <w:rsid w:val="0061106D"/>
    <w:rsid w:val="006521D9"/>
    <w:rsid w:val="006D1044"/>
    <w:rsid w:val="006D4E46"/>
    <w:rsid w:val="006D7035"/>
    <w:rsid w:val="00745024"/>
    <w:rsid w:val="007669EB"/>
    <w:rsid w:val="007A21F4"/>
    <w:rsid w:val="00886DD8"/>
    <w:rsid w:val="00972EBE"/>
    <w:rsid w:val="00A07D85"/>
    <w:rsid w:val="00A36CCE"/>
    <w:rsid w:val="00A80739"/>
    <w:rsid w:val="00AA7E10"/>
    <w:rsid w:val="00AF6907"/>
    <w:rsid w:val="00BA1049"/>
    <w:rsid w:val="00BE3F5C"/>
    <w:rsid w:val="00C826D0"/>
    <w:rsid w:val="00C968E9"/>
    <w:rsid w:val="00CE3A28"/>
    <w:rsid w:val="00D8364D"/>
    <w:rsid w:val="00D83F3F"/>
    <w:rsid w:val="00DB7FA9"/>
    <w:rsid w:val="00E73A72"/>
    <w:rsid w:val="00ED7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7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7D85"/>
  </w:style>
  <w:style w:type="paragraph" w:styleId="Footer">
    <w:name w:val="footer"/>
    <w:basedOn w:val="Normal"/>
    <w:link w:val="FooterChar"/>
    <w:uiPriority w:val="99"/>
    <w:semiHidden/>
    <w:unhideWhenUsed/>
    <w:rsid w:val="00A07D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7D85"/>
  </w:style>
  <w:style w:type="character" w:styleId="Hyperlink">
    <w:name w:val="Hyperlink"/>
    <w:basedOn w:val="DefaultParagraphFont"/>
    <w:uiPriority w:val="99"/>
    <w:unhideWhenUsed/>
    <w:rsid w:val="00C968E9"/>
    <w:rPr>
      <w:color w:val="0000FF" w:themeColor="hyperlink"/>
      <w:u w:val="single"/>
    </w:rPr>
  </w:style>
  <w:style w:type="paragraph" w:styleId="BalloonText">
    <w:name w:val="Balloon Text"/>
    <w:basedOn w:val="Normal"/>
    <w:link w:val="BalloonTextChar"/>
    <w:uiPriority w:val="99"/>
    <w:semiHidden/>
    <w:unhideWhenUsed/>
    <w:rsid w:val="006D7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jsmeshram@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Sudhir</cp:lastModifiedBy>
  <cp:revision>58</cp:revision>
  <dcterms:created xsi:type="dcterms:W3CDTF">2014-09-13T10:31:00Z</dcterms:created>
  <dcterms:modified xsi:type="dcterms:W3CDTF">2014-09-18T12:54:00Z</dcterms:modified>
</cp:coreProperties>
</file>